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15" w:rsidRDefault="00087215">
      <w:pPr>
        <w:spacing w:line="240" w:lineRule="auto"/>
        <w:jc w:val="center"/>
        <w:rPr>
          <w:b/>
          <w:sz w:val="36"/>
          <w:szCs w:val="36"/>
        </w:rPr>
      </w:pPr>
      <w:bookmarkStart w:id="0" w:name="_GoBack"/>
      <w:bookmarkEnd w:id="0"/>
    </w:p>
    <w:p w:rsidR="00087215" w:rsidRDefault="004C6A05">
      <w:pPr>
        <w:spacing w:line="240" w:lineRule="auto"/>
        <w:jc w:val="center"/>
        <w:rPr>
          <w:b/>
          <w:sz w:val="28"/>
          <w:szCs w:val="28"/>
        </w:rPr>
      </w:pPr>
      <w:r>
        <w:rPr>
          <w:b/>
          <w:sz w:val="28"/>
          <w:szCs w:val="28"/>
        </w:rPr>
        <w:t>HEINEKEN Green Challenge 2019</w:t>
      </w:r>
    </w:p>
    <w:p w:rsidR="00087215" w:rsidRDefault="004C6A05">
      <w:pPr>
        <w:spacing w:line="240" w:lineRule="auto"/>
        <w:jc w:val="center"/>
      </w:pPr>
      <w:r>
        <w:rPr>
          <w:b/>
          <w:sz w:val="28"/>
          <w:szCs w:val="28"/>
        </w:rPr>
        <w:t>“Cada gota cuenta</w:t>
      </w:r>
      <w:r>
        <w:rPr>
          <w:b/>
          <w:sz w:val="36"/>
          <w:szCs w:val="36"/>
        </w:rPr>
        <w:t>”</w:t>
      </w:r>
    </w:p>
    <w:p w:rsidR="00087215" w:rsidRDefault="00087215">
      <w:pPr>
        <w:spacing w:line="240" w:lineRule="auto"/>
        <w:jc w:val="both"/>
        <w:rPr>
          <w:i/>
          <w:color w:val="0033FF"/>
          <w:sz w:val="20"/>
          <w:szCs w:val="20"/>
        </w:rPr>
      </w:pPr>
    </w:p>
    <w:p w:rsidR="00087215" w:rsidRDefault="00087215">
      <w:pPr>
        <w:spacing w:line="240" w:lineRule="auto"/>
        <w:jc w:val="both"/>
        <w:rPr>
          <w:i/>
          <w:color w:val="0033FF"/>
          <w:sz w:val="20"/>
          <w:szCs w:val="20"/>
        </w:rPr>
      </w:pPr>
    </w:p>
    <w:p w:rsidR="00087215" w:rsidRDefault="004C6A05">
      <w:pPr>
        <w:spacing w:line="240" w:lineRule="auto"/>
        <w:jc w:val="both"/>
        <w:rPr>
          <w:b/>
          <w:i/>
          <w:color w:val="3C4245"/>
          <w:sz w:val="20"/>
          <w:szCs w:val="20"/>
        </w:rPr>
      </w:pPr>
      <w:r>
        <w:rPr>
          <w:b/>
          <w:color w:val="4A86E8"/>
          <w:sz w:val="20"/>
          <w:szCs w:val="20"/>
        </w:rPr>
        <w:t xml:space="preserve">¿Sabías que para 2025, la mitad de la población mundial vivirá en zonas con escasez de agua? </w:t>
      </w:r>
      <w:r>
        <w:rPr>
          <w:b/>
          <w:i/>
          <w:color w:val="3C4245"/>
          <w:sz w:val="20"/>
          <w:szCs w:val="20"/>
        </w:rPr>
        <w:t xml:space="preserve">(Organización Mundial de la Salud, 2018) </w:t>
      </w:r>
    </w:p>
    <w:p w:rsidR="00087215" w:rsidRDefault="004C6A05">
      <w:pPr>
        <w:spacing w:before="180" w:after="180" w:line="240" w:lineRule="auto"/>
        <w:jc w:val="both"/>
        <w:rPr>
          <w:b/>
          <w:color w:val="333333"/>
          <w:sz w:val="20"/>
          <w:szCs w:val="20"/>
          <w:highlight w:val="white"/>
        </w:rPr>
      </w:pPr>
      <w:r>
        <w:rPr>
          <w:b/>
          <w:color w:val="333333"/>
          <w:sz w:val="20"/>
          <w:szCs w:val="20"/>
          <w:highlight w:val="white"/>
        </w:rPr>
        <w:t>Datos relevantes relacionados con el agua:</w:t>
      </w:r>
    </w:p>
    <w:p w:rsidR="00087215" w:rsidRDefault="004C6A05">
      <w:pPr>
        <w:numPr>
          <w:ilvl w:val="0"/>
          <w:numId w:val="9"/>
        </w:numPr>
        <w:jc w:val="both"/>
        <w:rPr>
          <w:sz w:val="20"/>
          <w:szCs w:val="20"/>
        </w:rPr>
      </w:pPr>
      <w:r>
        <w:rPr>
          <w:sz w:val="20"/>
          <w:szCs w:val="20"/>
        </w:rPr>
        <w:t>El 97.5% del agua en la tierra se encuentra en los océanos y mares de agua salada, únicamente el restante 2.5% es agua dulce . Del total de agua dulce en el mundo, 69% se encuentra en los polos y en las cumbres de las montañas más altas y se encuentra en u</w:t>
      </w:r>
      <w:r>
        <w:rPr>
          <w:sz w:val="20"/>
          <w:szCs w:val="20"/>
        </w:rPr>
        <w:t>n estado sólido.</w:t>
      </w:r>
    </w:p>
    <w:p w:rsidR="00087215" w:rsidRDefault="004C6A05">
      <w:pPr>
        <w:numPr>
          <w:ilvl w:val="0"/>
          <w:numId w:val="8"/>
        </w:numPr>
        <w:jc w:val="both"/>
        <w:rPr>
          <w:sz w:val="20"/>
          <w:szCs w:val="20"/>
        </w:rPr>
      </w:pPr>
      <w:r>
        <w:rPr>
          <w:sz w:val="20"/>
          <w:szCs w:val="20"/>
        </w:rPr>
        <w:t>El 30% del agua dulce del mundial, se encuentra en la humedad del suelo y en los acuíferos profundos.</w:t>
      </w:r>
    </w:p>
    <w:p w:rsidR="00087215" w:rsidRDefault="004C6A05">
      <w:pPr>
        <w:numPr>
          <w:ilvl w:val="0"/>
          <w:numId w:val="14"/>
        </w:numPr>
        <w:jc w:val="both"/>
        <w:rPr>
          <w:sz w:val="20"/>
          <w:szCs w:val="20"/>
        </w:rPr>
      </w:pPr>
      <w:r>
        <w:rPr>
          <w:sz w:val="20"/>
          <w:szCs w:val="20"/>
        </w:rPr>
        <w:t xml:space="preserve">Solo el 1% del agua dulce en el mundo, escurre por las cuencas hidrográficas en forma de arroyos y ríos y se depositan en lagos, lagunas </w:t>
      </w:r>
      <w:r>
        <w:rPr>
          <w:sz w:val="20"/>
          <w:szCs w:val="20"/>
        </w:rPr>
        <w:t>y en otros cuerpos superficiales de agua y en acuíferos.</w:t>
      </w:r>
    </w:p>
    <w:p w:rsidR="00087215" w:rsidRDefault="004C6A05">
      <w:pPr>
        <w:numPr>
          <w:ilvl w:val="0"/>
          <w:numId w:val="14"/>
        </w:numPr>
        <w:spacing w:after="320" w:line="240" w:lineRule="auto"/>
        <w:jc w:val="both"/>
        <w:rPr>
          <w:sz w:val="20"/>
          <w:szCs w:val="20"/>
        </w:rPr>
      </w:pPr>
      <w:r>
        <w:rPr>
          <w:sz w:val="20"/>
          <w:szCs w:val="20"/>
        </w:rPr>
        <w:t xml:space="preserve">En el mundo, al menos </w:t>
      </w:r>
      <w:r>
        <w:rPr>
          <w:b/>
          <w:i/>
          <w:sz w:val="20"/>
          <w:szCs w:val="20"/>
        </w:rPr>
        <w:t>2000 millones</w:t>
      </w:r>
      <w:r>
        <w:rPr>
          <w:sz w:val="20"/>
          <w:szCs w:val="20"/>
        </w:rPr>
        <w:t xml:space="preserve"> de personas se abastecen de una fuente de agua potable que está contaminada por heces. El agua contaminada puede transmitir enfermedades como la diarrea, el cólera</w:t>
      </w:r>
      <w:r>
        <w:rPr>
          <w:sz w:val="20"/>
          <w:szCs w:val="20"/>
        </w:rPr>
        <w:t xml:space="preserve">, la disentería, la fiebre tifoidea y la poliomielitis. Se calcula que la contaminación del agua potable provoca más de </w:t>
      </w:r>
      <w:r>
        <w:rPr>
          <w:b/>
          <w:i/>
          <w:sz w:val="20"/>
          <w:szCs w:val="20"/>
        </w:rPr>
        <w:t>500 mil muertes</w:t>
      </w:r>
      <w:r>
        <w:rPr>
          <w:sz w:val="20"/>
          <w:szCs w:val="20"/>
        </w:rPr>
        <w:t xml:space="preserve"> por diarrea al año </w:t>
      </w:r>
      <w:r>
        <w:rPr>
          <w:b/>
          <w:i/>
          <w:sz w:val="20"/>
          <w:szCs w:val="20"/>
        </w:rPr>
        <w:t>(Organización Mundial de la Salud, 2018)</w:t>
      </w:r>
      <w:r>
        <w:rPr>
          <w:sz w:val="20"/>
          <w:szCs w:val="20"/>
        </w:rPr>
        <w:t>.</w:t>
      </w:r>
    </w:p>
    <w:p w:rsidR="00087215" w:rsidRDefault="004C6A05">
      <w:pPr>
        <w:spacing w:line="240" w:lineRule="auto"/>
        <w:jc w:val="both"/>
        <w:rPr>
          <w:sz w:val="20"/>
          <w:szCs w:val="20"/>
        </w:rPr>
      </w:pPr>
      <w:r>
        <w:rPr>
          <w:sz w:val="20"/>
          <w:szCs w:val="20"/>
        </w:rPr>
        <w:t>Si deseas conocer más información acerca de cómo HEINEKEN e</w:t>
      </w:r>
      <w:r>
        <w:rPr>
          <w:sz w:val="20"/>
          <w:szCs w:val="20"/>
        </w:rPr>
        <w:t>stá contribuyendo a las problemáticas relacionadas con temas del agua, ingresa a los siguientes links:</w:t>
      </w:r>
    </w:p>
    <w:p w:rsidR="00087215" w:rsidRDefault="00087215">
      <w:pPr>
        <w:spacing w:line="240" w:lineRule="auto"/>
        <w:jc w:val="both"/>
        <w:rPr>
          <w:b/>
          <w:sz w:val="20"/>
          <w:szCs w:val="20"/>
        </w:rPr>
      </w:pPr>
    </w:p>
    <w:p w:rsidR="00087215" w:rsidRDefault="004C6A05">
      <w:pPr>
        <w:numPr>
          <w:ilvl w:val="0"/>
          <w:numId w:val="2"/>
        </w:numPr>
        <w:spacing w:line="240" w:lineRule="auto"/>
        <w:jc w:val="both"/>
        <w:rPr>
          <w:b/>
          <w:sz w:val="20"/>
          <w:szCs w:val="20"/>
        </w:rPr>
      </w:pPr>
      <w:r>
        <w:rPr>
          <w:b/>
          <w:sz w:val="20"/>
          <w:szCs w:val="20"/>
        </w:rPr>
        <w:t xml:space="preserve">Protecting Water Resources: </w:t>
      </w:r>
    </w:p>
    <w:p w:rsidR="00087215" w:rsidRDefault="004C6A05">
      <w:pPr>
        <w:spacing w:line="240" w:lineRule="auto"/>
        <w:ind w:left="720"/>
        <w:jc w:val="both"/>
        <w:rPr>
          <w:b/>
          <w:sz w:val="20"/>
          <w:szCs w:val="20"/>
          <w:highlight w:val="yellow"/>
        </w:rPr>
      </w:pPr>
      <w:hyperlink r:id="rId7">
        <w:r>
          <w:rPr>
            <w:rFonts w:ascii="Roboto" w:eastAsia="Roboto" w:hAnsi="Roboto" w:cs="Roboto"/>
            <w:b/>
            <w:color w:val="1A73E8"/>
            <w:sz w:val="21"/>
            <w:szCs w:val="21"/>
            <w:highlight w:val="white"/>
            <w:u w:val="single"/>
          </w:rPr>
          <w:t>https://www.theheinekencompany.com/Sustainability/Focus-Areas/Protecting-Water-Resources</w:t>
        </w:r>
      </w:hyperlink>
    </w:p>
    <w:p w:rsidR="00087215" w:rsidRDefault="00087215">
      <w:pPr>
        <w:spacing w:line="240" w:lineRule="auto"/>
        <w:ind w:left="720"/>
        <w:jc w:val="both"/>
        <w:rPr>
          <w:b/>
          <w:sz w:val="20"/>
          <w:szCs w:val="20"/>
          <w:highlight w:val="yellow"/>
        </w:rPr>
      </w:pPr>
    </w:p>
    <w:p w:rsidR="00087215" w:rsidRDefault="004C6A05">
      <w:pPr>
        <w:numPr>
          <w:ilvl w:val="0"/>
          <w:numId w:val="2"/>
        </w:numPr>
        <w:spacing w:line="240" w:lineRule="auto"/>
        <w:jc w:val="both"/>
        <w:rPr>
          <w:b/>
          <w:sz w:val="20"/>
          <w:szCs w:val="20"/>
        </w:rPr>
      </w:pPr>
      <w:r>
        <w:rPr>
          <w:b/>
          <w:sz w:val="20"/>
          <w:szCs w:val="20"/>
        </w:rPr>
        <w:t>Comunicado de prensa sobre las metas de HEINEKEN para 2030:</w:t>
      </w:r>
    </w:p>
    <w:p w:rsidR="00087215" w:rsidRDefault="004C6A05">
      <w:pPr>
        <w:spacing w:line="240" w:lineRule="auto"/>
        <w:ind w:left="720"/>
        <w:jc w:val="both"/>
        <w:rPr>
          <w:b/>
          <w:sz w:val="20"/>
          <w:szCs w:val="20"/>
          <w:highlight w:val="yellow"/>
        </w:rPr>
      </w:pPr>
      <w:hyperlink r:id="rId8">
        <w:r>
          <w:rPr>
            <w:rFonts w:ascii="Roboto" w:eastAsia="Roboto" w:hAnsi="Roboto" w:cs="Roboto"/>
            <w:b/>
            <w:color w:val="1A73E8"/>
            <w:sz w:val="21"/>
            <w:szCs w:val="21"/>
            <w:highlight w:val="white"/>
            <w:u w:val="single"/>
          </w:rPr>
          <w:t>https://www.theheinekencompany.com/Media/Media-Releases/Press-releases/2019/03/2238997</w:t>
        </w:r>
      </w:hyperlink>
    </w:p>
    <w:p w:rsidR="00087215" w:rsidRDefault="00087215">
      <w:pPr>
        <w:spacing w:line="240" w:lineRule="auto"/>
        <w:ind w:left="720"/>
        <w:jc w:val="both"/>
        <w:rPr>
          <w:b/>
          <w:sz w:val="20"/>
          <w:szCs w:val="20"/>
          <w:highlight w:val="yellow"/>
        </w:rPr>
      </w:pPr>
    </w:p>
    <w:p w:rsidR="00087215" w:rsidRDefault="004C6A05">
      <w:pPr>
        <w:numPr>
          <w:ilvl w:val="0"/>
          <w:numId w:val="2"/>
        </w:numPr>
        <w:spacing w:line="240" w:lineRule="auto"/>
        <w:jc w:val="both"/>
        <w:rPr>
          <w:b/>
          <w:sz w:val="20"/>
          <w:szCs w:val="20"/>
        </w:rPr>
      </w:pPr>
      <w:r>
        <w:rPr>
          <w:b/>
          <w:sz w:val="20"/>
          <w:szCs w:val="20"/>
        </w:rPr>
        <w:t>Cada gota cuenta</w:t>
      </w:r>
    </w:p>
    <w:p w:rsidR="00087215" w:rsidRDefault="004C6A05">
      <w:pPr>
        <w:pBdr>
          <w:top w:val="nil"/>
          <w:left w:val="nil"/>
          <w:bottom w:val="nil"/>
          <w:right w:val="nil"/>
          <w:between w:val="nil"/>
        </w:pBdr>
        <w:spacing w:line="240" w:lineRule="auto"/>
        <w:ind w:left="720"/>
        <w:jc w:val="both"/>
        <w:rPr>
          <w:rFonts w:ascii="Roboto" w:eastAsia="Roboto" w:hAnsi="Roboto" w:cs="Roboto"/>
          <w:b/>
          <w:color w:val="1A73E8"/>
          <w:sz w:val="21"/>
          <w:szCs w:val="21"/>
          <w:highlight w:val="white"/>
          <w:u w:val="single"/>
        </w:rPr>
      </w:pPr>
      <w:hyperlink r:id="rId9">
        <w:r>
          <w:rPr>
            <w:rFonts w:ascii="Roboto" w:eastAsia="Roboto" w:hAnsi="Roboto" w:cs="Roboto"/>
            <w:b/>
            <w:color w:val="1A73E8"/>
            <w:sz w:val="21"/>
            <w:szCs w:val="21"/>
            <w:highlight w:val="white"/>
            <w:u w:val="single"/>
          </w:rPr>
          <w:t>https://www.theheinekencompany.com/Media/Features/Every-Drop-Protecting-Water-Resources</w:t>
        </w:r>
      </w:hyperlink>
    </w:p>
    <w:p w:rsidR="00087215" w:rsidRDefault="00087215">
      <w:pPr>
        <w:spacing w:before="180" w:after="180" w:line="240" w:lineRule="auto"/>
        <w:rPr>
          <w:b/>
          <w:color w:val="4A86E8"/>
          <w:sz w:val="24"/>
          <w:szCs w:val="24"/>
          <w:highlight w:val="white"/>
        </w:rPr>
      </w:pPr>
    </w:p>
    <w:p w:rsidR="00087215" w:rsidRDefault="004C6A05">
      <w:pPr>
        <w:spacing w:before="180" w:after="180" w:line="240" w:lineRule="auto"/>
        <w:rPr>
          <w:b/>
          <w:color w:val="333333"/>
          <w:sz w:val="20"/>
          <w:szCs w:val="20"/>
          <w:highlight w:val="white"/>
        </w:rPr>
      </w:pPr>
      <w:r>
        <w:rPr>
          <w:b/>
          <w:color w:val="4A86E8"/>
          <w:sz w:val="24"/>
          <w:szCs w:val="24"/>
          <w:highlight w:val="white"/>
        </w:rPr>
        <w:t>¿Cuál es la problemática a resolver?</w:t>
      </w:r>
    </w:p>
    <w:p w:rsidR="00087215" w:rsidRDefault="004C6A05">
      <w:pPr>
        <w:spacing w:line="240" w:lineRule="auto"/>
        <w:jc w:val="both"/>
        <w:rPr>
          <w:color w:val="333333"/>
          <w:sz w:val="20"/>
          <w:szCs w:val="20"/>
          <w:highlight w:val="white"/>
        </w:rPr>
      </w:pPr>
      <w:r>
        <w:rPr>
          <w:color w:val="333333"/>
          <w:sz w:val="20"/>
          <w:szCs w:val="20"/>
          <w:highlight w:val="white"/>
        </w:rPr>
        <w:t xml:space="preserve">Para </w:t>
      </w:r>
      <w:r>
        <w:rPr>
          <w:b/>
          <w:color w:val="333333"/>
          <w:sz w:val="20"/>
          <w:szCs w:val="20"/>
          <w:highlight w:val="white"/>
        </w:rPr>
        <w:t>HEINEKEN México</w:t>
      </w:r>
      <w:r>
        <w:rPr>
          <w:color w:val="333333"/>
          <w:sz w:val="20"/>
          <w:szCs w:val="20"/>
          <w:highlight w:val="white"/>
        </w:rPr>
        <w:t xml:space="preserve"> e</w:t>
      </w:r>
      <w:r>
        <w:rPr>
          <w:b/>
          <w:color w:val="333333"/>
          <w:sz w:val="20"/>
          <w:szCs w:val="20"/>
          <w:highlight w:val="white"/>
        </w:rPr>
        <w:t xml:space="preserve"> INCmty</w:t>
      </w:r>
      <w:r>
        <w:rPr>
          <w:color w:val="333333"/>
          <w:sz w:val="20"/>
          <w:szCs w:val="20"/>
          <w:highlight w:val="white"/>
        </w:rPr>
        <w:t xml:space="preserve"> es muy importante impactar de manera positiva en el planeta, por ello, </w:t>
      </w:r>
      <w:r>
        <w:rPr>
          <w:b/>
          <w:color w:val="333333"/>
          <w:sz w:val="20"/>
          <w:szCs w:val="20"/>
          <w:highlight w:val="white"/>
        </w:rPr>
        <w:t>HEINEKEN Green Challenge</w:t>
      </w:r>
      <w:r>
        <w:rPr>
          <w:color w:val="333333"/>
          <w:sz w:val="20"/>
          <w:szCs w:val="20"/>
          <w:highlight w:val="white"/>
        </w:rPr>
        <w:t xml:space="preserve"> busc</w:t>
      </w:r>
      <w:r>
        <w:rPr>
          <w:color w:val="333333"/>
          <w:sz w:val="20"/>
          <w:szCs w:val="20"/>
          <w:highlight w:val="white"/>
        </w:rPr>
        <w:t>a reunir a las mentes más creativas que quieran hacer de nuestro planeta un lugar mejor.  En esta edición, lo único que tienes que hacer es presentar un proyecto para contrarrestar las siguientes problemáticas:</w:t>
      </w:r>
    </w:p>
    <w:p w:rsidR="00087215" w:rsidRDefault="004C6A05">
      <w:pPr>
        <w:numPr>
          <w:ilvl w:val="0"/>
          <w:numId w:val="5"/>
        </w:numPr>
        <w:spacing w:before="180" w:line="240" w:lineRule="auto"/>
        <w:rPr>
          <w:b/>
          <w:sz w:val="20"/>
          <w:szCs w:val="20"/>
        </w:rPr>
      </w:pPr>
      <w:r>
        <w:rPr>
          <w:b/>
          <w:color w:val="333333"/>
          <w:sz w:val="20"/>
          <w:szCs w:val="20"/>
          <w:highlight w:val="white"/>
        </w:rPr>
        <w:t>La escasez del agua</w:t>
      </w:r>
    </w:p>
    <w:p w:rsidR="00087215" w:rsidRDefault="004C6A05">
      <w:pPr>
        <w:numPr>
          <w:ilvl w:val="0"/>
          <w:numId w:val="5"/>
        </w:numPr>
        <w:spacing w:line="240" w:lineRule="auto"/>
        <w:rPr>
          <w:b/>
          <w:sz w:val="20"/>
          <w:szCs w:val="20"/>
        </w:rPr>
      </w:pPr>
      <w:r>
        <w:rPr>
          <w:b/>
          <w:color w:val="333333"/>
          <w:sz w:val="20"/>
          <w:szCs w:val="20"/>
          <w:highlight w:val="white"/>
        </w:rPr>
        <w:t>Uso ineficiente del agua</w:t>
      </w:r>
    </w:p>
    <w:p w:rsidR="00087215" w:rsidRDefault="004C6A05">
      <w:pPr>
        <w:numPr>
          <w:ilvl w:val="0"/>
          <w:numId w:val="5"/>
        </w:numPr>
        <w:spacing w:line="240" w:lineRule="auto"/>
        <w:rPr>
          <w:b/>
          <w:sz w:val="20"/>
          <w:szCs w:val="20"/>
        </w:rPr>
      </w:pPr>
      <w:r>
        <w:rPr>
          <w:b/>
          <w:color w:val="333333"/>
          <w:sz w:val="20"/>
          <w:szCs w:val="20"/>
          <w:highlight w:val="white"/>
        </w:rPr>
        <w:t xml:space="preserve">La falta de acceso al agua </w:t>
      </w:r>
    </w:p>
    <w:p w:rsidR="00087215" w:rsidRDefault="004C6A05">
      <w:pPr>
        <w:numPr>
          <w:ilvl w:val="0"/>
          <w:numId w:val="5"/>
        </w:numPr>
        <w:spacing w:line="240" w:lineRule="auto"/>
        <w:rPr>
          <w:b/>
          <w:sz w:val="20"/>
          <w:szCs w:val="20"/>
        </w:rPr>
      </w:pPr>
      <w:r>
        <w:rPr>
          <w:b/>
          <w:color w:val="333333"/>
          <w:sz w:val="20"/>
          <w:szCs w:val="20"/>
          <w:highlight w:val="white"/>
        </w:rPr>
        <w:t>El deterioro en la calidad del agua</w:t>
      </w:r>
    </w:p>
    <w:p w:rsidR="00087215" w:rsidRDefault="004C6A05">
      <w:pPr>
        <w:numPr>
          <w:ilvl w:val="0"/>
          <w:numId w:val="5"/>
        </w:numPr>
        <w:spacing w:after="180" w:line="240" w:lineRule="auto"/>
        <w:rPr>
          <w:b/>
          <w:sz w:val="20"/>
          <w:szCs w:val="20"/>
        </w:rPr>
      </w:pPr>
      <w:r>
        <w:rPr>
          <w:b/>
          <w:color w:val="333333"/>
          <w:sz w:val="20"/>
          <w:szCs w:val="20"/>
          <w:highlight w:val="white"/>
        </w:rPr>
        <w:t>Saneamiento del agua</w:t>
      </w:r>
    </w:p>
    <w:p w:rsidR="00087215" w:rsidRDefault="00087215">
      <w:pPr>
        <w:spacing w:line="240" w:lineRule="auto"/>
        <w:rPr>
          <w:b/>
          <w:sz w:val="20"/>
          <w:szCs w:val="20"/>
        </w:rPr>
      </w:pPr>
    </w:p>
    <w:p w:rsidR="00087215" w:rsidRDefault="00087215">
      <w:pPr>
        <w:spacing w:line="240" w:lineRule="auto"/>
        <w:rPr>
          <w:b/>
          <w:sz w:val="20"/>
          <w:szCs w:val="20"/>
        </w:rPr>
      </w:pPr>
    </w:p>
    <w:p w:rsidR="00087215" w:rsidRDefault="00087215">
      <w:pPr>
        <w:spacing w:line="240" w:lineRule="auto"/>
        <w:rPr>
          <w:b/>
          <w:sz w:val="20"/>
          <w:szCs w:val="20"/>
        </w:rPr>
      </w:pPr>
    </w:p>
    <w:p w:rsidR="00087215" w:rsidRDefault="00087215">
      <w:pPr>
        <w:spacing w:line="240" w:lineRule="auto"/>
        <w:rPr>
          <w:b/>
          <w:sz w:val="20"/>
          <w:szCs w:val="20"/>
        </w:rPr>
      </w:pPr>
    </w:p>
    <w:p w:rsidR="00087215" w:rsidRDefault="00087215">
      <w:pPr>
        <w:spacing w:line="240" w:lineRule="auto"/>
        <w:rPr>
          <w:b/>
          <w:sz w:val="20"/>
          <w:szCs w:val="20"/>
        </w:rPr>
      </w:pPr>
    </w:p>
    <w:p w:rsidR="00087215" w:rsidRDefault="00087215">
      <w:pPr>
        <w:spacing w:line="240" w:lineRule="auto"/>
        <w:rPr>
          <w:b/>
          <w:sz w:val="20"/>
          <w:szCs w:val="20"/>
        </w:rPr>
      </w:pPr>
    </w:p>
    <w:p w:rsidR="00087215" w:rsidRDefault="004C6A05">
      <w:pPr>
        <w:spacing w:line="240" w:lineRule="auto"/>
        <w:rPr>
          <w:b/>
          <w:sz w:val="20"/>
          <w:szCs w:val="20"/>
        </w:rPr>
      </w:pPr>
      <w:r>
        <w:rPr>
          <w:b/>
          <w:sz w:val="20"/>
          <w:szCs w:val="20"/>
        </w:rPr>
        <w:t>El proyecto debe adaptarse a los siguientes puntos:</w:t>
      </w:r>
    </w:p>
    <w:p w:rsidR="00087215" w:rsidRDefault="00087215">
      <w:pPr>
        <w:spacing w:line="240" w:lineRule="auto"/>
        <w:rPr>
          <w:sz w:val="20"/>
          <w:szCs w:val="20"/>
        </w:rPr>
      </w:pPr>
    </w:p>
    <w:p w:rsidR="00087215" w:rsidRDefault="004C6A05">
      <w:pPr>
        <w:numPr>
          <w:ilvl w:val="0"/>
          <w:numId w:val="15"/>
        </w:numPr>
        <w:spacing w:line="240" w:lineRule="auto"/>
        <w:jc w:val="both"/>
        <w:rPr>
          <w:sz w:val="20"/>
          <w:szCs w:val="20"/>
        </w:rPr>
      </w:pPr>
      <w:r>
        <w:rPr>
          <w:sz w:val="20"/>
          <w:szCs w:val="20"/>
        </w:rPr>
        <w:t>Mostrar una alternativa para reducir la escasez del agua en México.</w:t>
      </w:r>
    </w:p>
    <w:p w:rsidR="00087215" w:rsidRDefault="004C6A05">
      <w:pPr>
        <w:numPr>
          <w:ilvl w:val="0"/>
          <w:numId w:val="15"/>
        </w:numPr>
        <w:spacing w:line="240" w:lineRule="auto"/>
        <w:jc w:val="both"/>
        <w:rPr>
          <w:sz w:val="20"/>
          <w:szCs w:val="20"/>
        </w:rPr>
      </w:pPr>
      <w:r>
        <w:rPr>
          <w:sz w:val="20"/>
          <w:szCs w:val="20"/>
        </w:rPr>
        <w:t>Mejorar la calidad del agua.</w:t>
      </w:r>
    </w:p>
    <w:p w:rsidR="00087215" w:rsidRDefault="004C6A05">
      <w:pPr>
        <w:numPr>
          <w:ilvl w:val="0"/>
          <w:numId w:val="15"/>
        </w:numPr>
        <w:spacing w:line="240" w:lineRule="auto"/>
        <w:jc w:val="both"/>
        <w:rPr>
          <w:sz w:val="20"/>
          <w:szCs w:val="20"/>
        </w:rPr>
      </w:pPr>
      <w:r>
        <w:rPr>
          <w:sz w:val="20"/>
          <w:szCs w:val="20"/>
        </w:rPr>
        <w:t>Brindar soluciones para mejorar la distribución y acceso del servicio de agua.</w:t>
      </w:r>
    </w:p>
    <w:p w:rsidR="00087215" w:rsidRDefault="004C6A05">
      <w:pPr>
        <w:numPr>
          <w:ilvl w:val="0"/>
          <w:numId w:val="15"/>
        </w:numPr>
        <w:spacing w:line="240" w:lineRule="auto"/>
        <w:jc w:val="both"/>
        <w:rPr>
          <w:sz w:val="20"/>
          <w:szCs w:val="20"/>
        </w:rPr>
      </w:pPr>
      <w:r>
        <w:rPr>
          <w:sz w:val="20"/>
          <w:szCs w:val="20"/>
        </w:rPr>
        <w:t>Facilitar innovaciones para el saneamiento del agua.</w:t>
      </w:r>
    </w:p>
    <w:p w:rsidR="00087215" w:rsidRDefault="004C6A05">
      <w:pPr>
        <w:numPr>
          <w:ilvl w:val="0"/>
          <w:numId w:val="15"/>
        </w:numPr>
        <w:spacing w:line="240" w:lineRule="auto"/>
        <w:jc w:val="both"/>
        <w:rPr>
          <w:sz w:val="20"/>
          <w:szCs w:val="20"/>
        </w:rPr>
      </w:pPr>
      <w:r>
        <w:rPr>
          <w:sz w:val="20"/>
          <w:szCs w:val="20"/>
        </w:rPr>
        <w:t>Implementar una solución para el uso adecuado del agua y/o entre otras iniciativas que contribuyan a solucionar las problemá</w:t>
      </w:r>
      <w:r>
        <w:rPr>
          <w:sz w:val="20"/>
          <w:szCs w:val="20"/>
        </w:rPr>
        <w:t>ticas del agua en México.</w:t>
      </w:r>
    </w:p>
    <w:p w:rsidR="00087215" w:rsidRDefault="004C6A05">
      <w:pPr>
        <w:numPr>
          <w:ilvl w:val="0"/>
          <w:numId w:val="15"/>
        </w:numPr>
        <w:spacing w:line="240" w:lineRule="auto"/>
        <w:jc w:val="both"/>
        <w:rPr>
          <w:sz w:val="20"/>
          <w:szCs w:val="20"/>
        </w:rPr>
      </w:pPr>
      <w:r>
        <w:rPr>
          <w:sz w:val="20"/>
          <w:szCs w:val="20"/>
        </w:rPr>
        <w:t>Ser una startup (mexicana y/o extranjera) en las etapas de emprendimiento; validar, lanzar, crecer y escalar que desarrolle e implemente la solución en México.</w:t>
      </w:r>
    </w:p>
    <w:p w:rsidR="00087215" w:rsidRDefault="004C6A05">
      <w:pPr>
        <w:numPr>
          <w:ilvl w:val="0"/>
          <w:numId w:val="15"/>
        </w:numPr>
        <w:spacing w:line="240" w:lineRule="auto"/>
        <w:jc w:val="both"/>
        <w:rPr>
          <w:sz w:val="20"/>
          <w:szCs w:val="20"/>
        </w:rPr>
      </w:pPr>
      <w:r>
        <w:rPr>
          <w:sz w:val="20"/>
          <w:szCs w:val="20"/>
        </w:rPr>
        <w:t xml:space="preserve">Los proyectos deben de estar integrados por equipos de 2 a 5 personas </w:t>
      </w:r>
      <w:r>
        <w:rPr>
          <w:sz w:val="20"/>
          <w:szCs w:val="20"/>
        </w:rPr>
        <w:t>de 18 a 35 años. Definiendo un líder de proyecto que los representará en las diversas actividades que marca el programa, dicha persona deberá contar con disponibilidad de tiempo para viajar a la ciudad de Monterrey del 3 al 9 de noviembre de 2019.</w:t>
      </w:r>
    </w:p>
    <w:p w:rsidR="00087215" w:rsidRDefault="004C6A05">
      <w:pPr>
        <w:numPr>
          <w:ilvl w:val="0"/>
          <w:numId w:val="15"/>
        </w:numPr>
        <w:spacing w:line="240" w:lineRule="auto"/>
        <w:jc w:val="both"/>
        <w:rPr>
          <w:sz w:val="20"/>
          <w:szCs w:val="20"/>
        </w:rPr>
      </w:pPr>
      <w:r>
        <w:rPr>
          <w:sz w:val="20"/>
          <w:szCs w:val="20"/>
        </w:rPr>
        <w:t>El proye</w:t>
      </w:r>
      <w:r>
        <w:rPr>
          <w:sz w:val="20"/>
          <w:szCs w:val="20"/>
        </w:rPr>
        <w:t>cto no debe estar participando en otra convocatoria de INCmty 2019.</w:t>
      </w:r>
    </w:p>
    <w:p w:rsidR="00087215" w:rsidRDefault="00087215">
      <w:pPr>
        <w:spacing w:line="240" w:lineRule="auto"/>
        <w:rPr>
          <w:b/>
          <w:color w:val="4A86E8"/>
          <w:sz w:val="24"/>
          <w:szCs w:val="24"/>
        </w:rPr>
      </w:pPr>
    </w:p>
    <w:p w:rsidR="00087215" w:rsidRDefault="004C6A05">
      <w:pPr>
        <w:spacing w:line="240" w:lineRule="auto"/>
        <w:rPr>
          <w:b/>
          <w:color w:val="4A86E8"/>
          <w:sz w:val="24"/>
          <w:szCs w:val="24"/>
        </w:rPr>
      </w:pPr>
      <w:r>
        <w:rPr>
          <w:b/>
          <w:color w:val="4A86E8"/>
          <w:sz w:val="24"/>
          <w:szCs w:val="24"/>
        </w:rPr>
        <w:t>Momentos importantes</w:t>
      </w:r>
    </w:p>
    <w:p w:rsidR="00087215" w:rsidRDefault="00087215">
      <w:pPr>
        <w:spacing w:line="240" w:lineRule="auto"/>
        <w:rPr>
          <w:b/>
          <w:color w:val="4A86E8"/>
          <w:sz w:val="24"/>
          <w:szCs w:val="24"/>
        </w:rPr>
      </w:pPr>
    </w:p>
    <w:p w:rsidR="00087215" w:rsidRDefault="004C6A05">
      <w:pPr>
        <w:jc w:val="both"/>
        <w:rPr>
          <w:sz w:val="20"/>
          <w:szCs w:val="20"/>
        </w:rPr>
      </w:pPr>
      <w:r>
        <w:rPr>
          <w:b/>
          <w:sz w:val="20"/>
          <w:szCs w:val="20"/>
        </w:rPr>
        <w:t>Registro (Online)</w:t>
      </w:r>
    </w:p>
    <w:p w:rsidR="00087215" w:rsidRDefault="00087215">
      <w:pPr>
        <w:jc w:val="both"/>
        <w:rPr>
          <w:sz w:val="20"/>
          <w:szCs w:val="20"/>
        </w:rPr>
      </w:pPr>
    </w:p>
    <w:p w:rsidR="00087215" w:rsidRDefault="004C6A05">
      <w:pPr>
        <w:numPr>
          <w:ilvl w:val="0"/>
          <w:numId w:val="6"/>
        </w:numPr>
        <w:jc w:val="both"/>
        <w:rPr>
          <w:sz w:val="20"/>
          <w:szCs w:val="20"/>
        </w:rPr>
      </w:pPr>
      <w:r>
        <w:rPr>
          <w:sz w:val="20"/>
          <w:szCs w:val="20"/>
        </w:rPr>
        <w:t xml:space="preserve">Periodo: </w:t>
      </w:r>
      <w:r>
        <w:rPr>
          <w:b/>
          <w:sz w:val="20"/>
          <w:szCs w:val="20"/>
        </w:rPr>
        <w:t>29 de junio - 15 de septiembre de 2019</w:t>
      </w:r>
    </w:p>
    <w:p w:rsidR="00087215" w:rsidRDefault="004C6A05">
      <w:pPr>
        <w:numPr>
          <w:ilvl w:val="0"/>
          <w:numId w:val="6"/>
        </w:numPr>
        <w:jc w:val="both"/>
        <w:rPr>
          <w:sz w:val="20"/>
          <w:szCs w:val="20"/>
        </w:rPr>
      </w:pPr>
      <w:r>
        <w:rPr>
          <w:sz w:val="20"/>
          <w:szCs w:val="20"/>
        </w:rPr>
        <w:t xml:space="preserve">Sitio web oficial del reto: </w:t>
      </w:r>
      <w:hyperlink r:id="rId10">
        <w:r>
          <w:rPr>
            <w:color w:val="1155CC"/>
            <w:sz w:val="20"/>
            <w:szCs w:val="20"/>
            <w:u w:val="single"/>
          </w:rPr>
          <w:t>https://heineken.incmty</w:t>
        </w:r>
        <w:r>
          <w:rPr>
            <w:color w:val="1155CC"/>
            <w:sz w:val="20"/>
            <w:szCs w:val="20"/>
            <w:u w:val="single"/>
          </w:rPr>
          <w:t>.com</w:t>
        </w:r>
      </w:hyperlink>
      <w:r>
        <w:rPr>
          <w:sz w:val="20"/>
          <w:szCs w:val="20"/>
        </w:rPr>
        <w:t xml:space="preserve">  </w:t>
      </w:r>
    </w:p>
    <w:p w:rsidR="00087215" w:rsidRDefault="00087215">
      <w:pPr>
        <w:jc w:val="both"/>
        <w:rPr>
          <w:b/>
          <w:sz w:val="20"/>
          <w:szCs w:val="20"/>
        </w:rPr>
      </w:pPr>
    </w:p>
    <w:p w:rsidR="00087215" w:rsidRDefault="004C6A05">
      <w:pPr>
        <w:jc w:val="both"/>
        <w:rPr>
          <w:b/>
          <w:sz w:val="20"/>
          <w:szCs w:val="20"/>
        </w:rPr>
      </w:pPr>
      <w:r>
        <w:rPr>
          <w:b/>
          <w:sz w:val="20"/>
          <w:szCs w:val="20"/>
        </w:rPr>
        <w:t>Kick off (lanzamiento de convocatoria presencial)</w:t>
      </w:r>
    </w:p>
    <w:p w:rsidR="00087215" w:rsidRDefault="00087215">
      <w:pPr>
        <w:jc w:val="both"/>
        <w:rPr>
          <w:b/>
          <w:sz w:val="20"/>
          <w:szCs w:val="20"/>
        </w:rPr>
      </w:pPr>
    </w:p>
    <w:p w:rsidR="00087215" w:rsidRDefault="004C6A05">
      <w:pPr>
        <w:numPr>
          <w:ilvl w:val="0"/>
          <w:numId w:val="10"/>
        </w:numPr>
        <w:jc w:val="both"/>
        <w:rPr>
          <w:b/>
          <w:sz w:val="20"/>
          <w:szCs w:val="20"/>
        </w:rPr>
      </w:pPr>
      <w:r>
        <w:rPr>
          <w:sz w:val="20"/>
          <w:szCs w:val="20"/>
        </w:rPr>
        <w:t>Periodo:</w:t>
      </w:r>
      <w:r>
        <w:rPr>
          <w:b/>
          <w:sz w:val="20"/>
          <w:szCs w:val="20"/>
        </w:rPr>
        <w:t xml:space="preserve"> julio - agosto de 2019.</w:t>
      </w:r>
    </w:p>
    <w:p w:rsidR="00087215" w:rsidRDefault="004C6A05">
      <w:pPr>
        <w:numPr>
          <w:ilvl w:val="0"/>
          <w:numId w:val="10"/>
        </w:numPr>
        <w:jc w:val="both"/>
        <w:rPr>
          <w:sz w:val="20"/>
          <w:szCs w:val="20"/>
        </w:rPr>
      </w:pPr>
      <w:r>
        <w:rPr>
          <w:sz w:val="20"/>
          <w:szCs w:val="20"/>
        </w:rPr>
        <w:t>Sedes</w:t>
      </w:r>
    </w:p>
    <w:p w:rsidR="00087215" w:rsidRDefault="004C6A05">
      <w:pPr>
        <w:ind w:left="1440"/>
        <w:jc w:val="both"/>
        <w:rPr>
          <w:b/>
          <w:sz w:val="20"/>
          <w:szCs w:val="20"/>
        </w:rPr>
      </w:pPr>
      <w:r>
        <w:rPr>
          <w:b/>
          <w:sz w:val="20"/>
          <w:szCs w:val="20"/>
        </w:rPr>
        <w:t xml:space="preserve">Región Noreste - Noroeste - Chihuahua </w:t>
      </w:r>
    </w:p>
    <w:p w:rsidR="00087215" w:rsidRDefault="004C6A05">
      <w:pPr>
        <w:ind w:left="1440"/>
        <w:jc w:val="both"/>
        <w:rPr>
          <w:b/>
          <w:sz w:val="20"/>
          <w:szCs w:val="20"/>
        </w:rPr>
      </w:pPr>
      <w:r>
        <w:rPr>
          <w:b/>
          <w:sz w:val="20"/>
          <w:szCs w:val="20"/>
        </w:rPr>
        <w:t>Región Noreste - Noroeste -  Monterrey</w:t>
      </w:r>
    </w:p>
    <w:p w:rsidR="00087215" w:rsidRDefault="004C6A05">
      <w:pPr>
        <w:ind w:left="1440"/>
        <w:jc w:val="both"/>
        <w:rPr>
          <w:b/>
          <w:sz w:val="20"/>
          <w:szCs w:val="20"/>
        </w:rPr>
      </w:pPr>
      <w:r>
        <w:rPr>
          <w:b/>
          <w:sz w:val="20"/>
          <w:szCs w:val="20"/>
        </w:rPr>
        <w:t>Región Noreste - Noroeste - Hermosillo</w:t>
      </w:r>
    </w:p>
    <w:p w:rsidR="00087215" w:rsidRDefault="004C6A05">
      <w:pPr>
        <w:ind w:left="1440"/>
        <w:jc w:val="both"/>
        <w:rPr>
          <w:b/>
          <w:sz w:val="20"/>
          <w:szCs w:val="20"/>
        </w:rPr>
      </w:pPr>
      <w:r>
        <w:rPr>
          <w:b/>
          <w:sz w:val="20"/>
          <w:szCs w:val="20"/>
        </w:rPr>
        <w:t>Región Noreste - Noroeste - Culiacán</w:t>
      </w:r>
    </w:p>
    <w:p w:rsidR="00087215" w:rsidRDefault="004C6A05">
      <w:pPr>
        <w:ind w:left="1440"/>
        <w:jc w:val="both"/>
        <w:rPr>
          <w:b/>
          <w:sz w:val="20"/>
          <w:szCs w:val="20"/>
        </w:rPr>
      </w:pPr>
      <w:r>
        <w:rPr>
          <w:b/>
          <w:sz w:val="20"/>
          <w:szCs w:val="20"/>
        </w:rPr>
        <w:t xml:space="preserve">Región Occidente - Centro Golfo - Guadalajara </w:t>
      </w:r>
    </w:p>
    <w:p w:rsidR="00087215" w:rsidRDefault="004C6A05">
      <w:pPr>
        <w:ind w:left="1440"/>
        <w:jc w:val="both"/>
        <w:rPr>
          <w:b/>
          <w:sz w:val="20"/>
          <w:szCs w:val="20"/>
        </w:rPr>
      </w:pPr>
      <w:r>
        <w:rPr>
          <w:b/>
          <w:sz w:val="20"/>
          <w:szCs w:val="20"/>
        </w:rPr>
        <w:t>Región Occidente - Centro Golfo - Guanajuato</w:t>
      </w:r>
    </w:p>
    <w:p w:rsidR="00087215" w:rsidRDefault="004C6A05">
      <w:pPr>
        <w:ind w:left="1440"/>
        <w:jc w:val="both"/>
        <w:rPr>
          <w:b/>
          <w:sz w:val="20"/>
          <w:szCs w:val="20"/>
        </w:rPr>
      </w:pPr>
      <w:r>
        <w:rPr>
          <w:b/>
          <w:sz w:val="20"/>
          <w:szCs w:val="20"/>
        </w:rPr>
        <w:t xml:space="preserve">Región Occidente - Centro Golfo - CDMX </w:t>
      </w:r>
    </w:p>
    <w:p w:rsidR="00087215" w:rsidRDefault="004C6A05">
      <w:pPr>
        <w:ind w:left="1440"/>
        <w:jc w:val="both"/>
        <w:rPr>
          <w:b/>
          <w:sz w:val="20"/>
          <w:szCs w:val="20"/>
        </w:rPr>
      </w:pPr>
      <w:r>
        <w:rPr>
          <w:b/>
          <w:sz w:val="20"/>
          <w:szCs w:val="20"/>
        </w:rPr>
        <w:t>Región Occidente - Centro Golfo - Hidalgo</w:t>
      </w:r>
    </w:p>
    <w:p w:rsidR="00087215" w:rsidRDefault="004C6A05">
      <w:pPr>
        <w:ind w:left="1440"/>
        <w:jc w:val="both"/>
        <w:rPr>
          <w:b/>
          <w:sz w:val="20"/>
          <w:szCs w:val="20"/>
        </w:rPr>
      </w:pPr>
      <w:r>
        <w:rPr>
          <w:b/>
          <w:sz w:val="20"/>
          <w:szCs w:val="20"/>
        </w:rPr>
        <w:t>Región Occidente - Centro Golfo - Oaxaca</w:t>
      </w:r>
    </w:p>
    <w:p w:rsidR="00087215" w:rsidRDefault="004C6A05">
      <w:pPr>
        <w:ind w:left="1440"/>
        <w:jc w:val="both"/>
        <w:rPr>
          <w:b/>
          <w:sz w:val="20"/>
          <w:szCs w:val="20"/>
        </w:rPr>
      </w:pPr>
      <w:r>
        <w:rPr>
          <w:b/>
          <w:sz w:val="20"/>
          <w:szCs w:val="20"/>
        </w:rPr>
        <w:t>Región Sureste - Mérida</w:t>
      </w:r>
    </w:p>
    <w:p w:rsidR="00087215" w:rsidRDefault="00087215">
      <w:pPr>
        <w:jc w:val="both"/>
        <w:rPr>
          <w:b/>
          <w:sz w:val="20"/>
          <w:szCs w:val="20"/>
        </w:rPr>
      </w:pPr>
    </w:p>
    <w:p w:rsidR="00087215" w:rsidRDefault="004C6A05">
      <w:pPr>
        <w:jc w:val="both"/>
        <w:rPr>
          <w:b/>
          <w:sz w:val="20"/>
          <w:szCs w:val="20"/>
        </w:rPr>
      </w:pPr>
      <w:r>
        <w:rPr>
          <w:b/>
          <w:sz w:val="20"/>
          <w:szCs w:val="20"/>
        </w:rPr>
        <w:t>Eliminatorias regional (pitch de eliminatoria regional)</w:t>
      </w:r>
    </w:p>
    <w:p w:rsidR="00087215" w:rsidRDefault="004C6A05">
      <w:pPr>
        <w:numPr>
          <w:ilvl w:val="0"/>
          <w:numId w:val="1"/>
        </w:numPr>
        <w:jc w:val="both"/>
        <w:rPr>
          <w:sz w:val="20"/>
          <w:szCs w:val="20"/>
        </w:rPr>
      </w:pPr>
      <w:r>
        <w:rPr>
          <w:sz w:val="20"/>
          <w:szCs w:val="20"/>
        </w:rPr>
        <w:t xml:space="preserve">Periodo: </w:t>
      </w:r>
      <w:r>
        <w:rPr>
          <w:b/>
          <w:i/>
          <w:sz w:val="20"/>
          <w:szCs w:val="20"/>
        </w:rPr>
        <w:t>23 de septiembre - 6 de octubre del 2019</w:t>
      </w:r>
    </w:p>
    <w:p w:rsidR="00087215" w:rsidRDefault="004C6A05">
      <w:pPr>
        <w:numPr>
          <w:ilvl w:val="0"/>
          <w:numId w:val="1"/>
        </w:numPr>
        <w:jc w:val="both"/>
        <w:rPr>
          <w:sz w:val="20"/>
          <w:szCs w:val="20"/>
        </w:rPr>
      </w:pPr>
      <w:r>
        <w:rPr>
          <w:sz w:val="20"/>
          <w:szCs w:val="20"/>
        </w:rPr>
        <w:t xml:space="preserve">Sedes: </w:t>
      </w:r>
      <w:r>
        <w:rPr>
          <w:b/>
          <w:sz w:val="20"/>
          <w:szCs w:val="20"/>
        </w:rPr>
        <w:t>7 sedes regionales (TBD - se comunicarán las sedes oficiales por medio del sitio web y redes sociales).</w:t>
      </w:r>
    </w:p>
    <w:p w:rsidR="00087215" w:rsidRDefault="00087215">
      <w:pPr>
        <w:jc w:val="both"/>
        <w:rPr>
          <w:sz w:val="20"/>
          <w:szCs w:val="20"/>
        </w:rPr>
      </w:pPr>
    </w:p>
    <w:p w:rsidR="00087215" w:rsidRDefault="00087215">
      <w:pPr>
        <w:jc w:val="both"/>
        <w:rPr>
          <w:sz w:val="20"/>
          <w:szCs w:val="20"/>
        </w:rPr>
      </w:pPr>
    </w:p>
    <w:p w:rsidR="00087215" w:rsidRDefault="00087215">
      <w:pPr>
        <w:jc w:val="both"/>
        <w:rPr>
          <w:sz w:val="20"/>
          <w:szCs w:val="20"/>
        </w:rPr>
      </w:pPr>
    </w:p>
    <w:p w:rsidR="00087215" w:rsidRDefault="00087215">
      <w:pPr>
        <w:jc w:val="both"/>
        <w:rPr>
          <w:sz w:val="20"/>
          <w:szCs w:val="20"/>
        </w:rPr>
      </w:pPr>
    </w:p>
    <w:p w:rsidR="00087215" w:rsidRDefault="00087215">
      <w:pPr>
        <w:jc w:val="both"/>
        <w:rPr>
          <w:sz w:val="20"/>
          <w:szCs w:val="20"/>
        </w:rPr>
      </w:pPr>
    </w:p>
    <w:p w:rsidR="00087215" w:rsidRDefault="00087215">
      <w:pPr>
        <w:jc w:val="both"/>
        <w:rPr>
          <w:b/>
          <w:sz w:val="20"/>
          <w:szCs w:val="20"/>
        </w:rPr>
      </w:pPr>
    </w:p>
    <w:p w:rsidR="00087215" w:rsidRDefault="004C6A05">
      <w:pPr>
        <w:jc w:val="both"/>
        <w:rPr>
          <w:sz w:val="20"/>
          <w:szCs w:val="20"/>
        </w:rPr>
      </w:pPr>
      <w:r>
        <w:rPr>
          <w:b/>
          <w:sz w:val="20"/>
          <w:szCs w:val="20"/>
        </w:rPr>
        <w:t>Publicación y confirmación de sel</w:t>
      </w:r>
      <w:r>
        <w:rPr>
          <w:b/>
          <w:sz w:val="20"/>
          <w:szCs w:val="20"/>
        </w:rPr>
        <w:t>eccionados en eliminatoria regional</w:t>
      </w:r>
    </w:p>
    <w:p w:rsidR="00087215" w:rsidRDefault="004C6A05">
      <w:pPr>
        <w:numPr>
          <w:ilvl w:val="0"/>
          <w:numId w:val="3"/>
        </w:numPr>
        <w:jc w:val="both"/>
        <w:rPr>
          <w:sz w:val="20"/>
          <w:szCs w:val="20"/>
        </w:rPr>
      </w:pPr>
      <w:r>
        <w:rPr>
          <w:sz w:val="20"/>
          <w:szCs w:val="20"/>
        </w:rPr>
        <w:t xml:space="preserve">Periodo: </w:t>
      </w:r>
      <w:r>
        <w:rPr>
          <w:b/>
          <w:sz w:val="20"/>
          <w:szCs w:val="20"/>
        </w:rPr>
        <w:t>9 de octubre de 2019</w:t>
      </w:r>
    </w:p>
    <w:p w:rsidR="00087215" w:rsidRDefault="004C6A05">
      <w:pPr>
        <w:numPr>
          <w:ilvl w:val="0"/>
          <w:numId w:val="3"/>
        </w:numPr>
        <w:jc w:val="both"/>
        <w:rPr>
          <w:sz w:val="20"/>
          <w:szCs w:val="20"/>
        </w:rPr>
      </w:pPr>
      <w:r>
        <w:rPr>
          <w:sz w:val="20"/>
          <w:szCs w:val="20"/>
        </w:rPr>
        <w:lastRenderedPageBreak/>
        <w:t xml:space="preserve">La publicación de los resultados se realizará en el sitio wey oficial: </w:t>
      </w:r>
      <w:hyperlink r:id="rId11">
        <w:r>
          <w:rPr>
            <w:color w:val="1155CC"/>
            <w:sz w:val="20"/>
            <w:szCs w:val="20"/>
            <w:u w:val="single"/>
          </w:rPr>
          <w:t>https://heineken.incmty.com</w:t>
        </w:r>
      </w:hyperlink>
      <w:r>
        <w:rPr>
          <w:sz w:val="20"/>
          <w:szCs w:val="20"/>
        </w:rPr>
        <w:t>.</w:t>
      </w:r>
      <w:r>
        <w:rPr>
          <w:b/>
          <w:sz w:val="20"/>
          <w:szCs w:val="20"/>
        </w:rPr>
        <w:t xml:space="preserve"> Adicionalmente se contactará a cada selecci</w:t>
      </w:r>
      <w:r>
        <w:rPr>
          <w:b/>
          <w:sz w:val="20"/>
          <w:szCs w:val="20"/>
        </w:rPr>
        <w:t xml:space="preserve">onado vía correo electrónico, deberán confirmar su participación por este medio a más tardar el día 11 de octubre del 2019,  de lo contrario quedarán eliminados automáticamente. </w:t>
      </w:r>
    </w:p>
    <w:p w:rsidR="00087215" w:rsidRDefault="00087215">
      <w:pPr>
        <w:ind w:left="720"/>
        <w:jc w:val="both"/>
        <w:rPr>
          <w:b/>
          <w:sz w:val="20"/>
          <w:szCs w:val="20"/>
        </w:rPr>
      </w:pPr>
    </w:p>
    <w:p w:rsidR="00087215" w:rsidRDefault="00087215">
      <w:pPr>
        <w:jc w:val="both"/>
        <w:rPr>
          <w:b/>
          <w:sz w:val="20"/>
          <w:szCs w:val="20"/>
        </w:rPr>
      </w:pPr>
    </w:p>
    <w:p w:rsidR="00087215" w:rsidRDefault="004C6A05">
      <w:pPr>
        <w:jc w:val="both"/>
        <w:rPr>
          <w:b/>
          <w:sz w:val="20"/>
          <w:szCs w:val="20"/>
        </w:rPr>
      </w:pPr>
      <w:r>
        <w:rPr>
          <w:b/>
          <w:sz w:val="20"/>
          <w:szCs w:val="20"/>
        </w:rPr>
        <w:t>Bootcamp Monterrey</w:t>
      </w:r>
    </w:p>
    <w:p w:rsidR="00087215" w:rsidRDefault="004C6A05">
      <w:pPr>
        <w:jc w:val="both"/>
        <w:rPr>
          <w:b/>
          <w:sz w:val="20"/>
          <w:szCs w:val="20"/>
        </w:rPr>
      </w:pPr>
      <w:r>
        <w:rPr>
          <w:b/>
          <w:sz w:val="20"/>
          <w:szCs w:val="20"/>
        </w:rPr>
        <w:t>Selección de 10 proyectos para acelerar y 5 finalistas a</w:t>
      </w:r>
      <w:r>
        <w:rPr>
          <w:b/>
          <w:sz w:val="20"/>
          <w:szCs w:val="20"/>
        </w:rPr>
        <w:t>l pitch fina</w:t>
      </w:r>
      <w:r>
        <w:rPr>
          <w:sz w:val="20"/>
          <w:szCs w:val="20"/>
        </w:rPr>
        <w:t xml:space="preserve">l. </w:t>
      </w:r>
    </w:p>
    <w:p w:rsidR="00087215" w:rsidRDefault="004C6A05">
      <w:pPr>
        <w:jc w:val="both"/>
        <w:rPr>
          <w:b/>
          <w:sz w:val="20"/>
          <w:szCs w:val="20"/>
        </w:rPr>
      </w:pPr>
      <w:r>
        <w:rPr>
          <w:sz w:val="20"/>
          <w:szCs w:val="20"/>
        </w:rPr>
        <w:t>Periodo:</w:t>
      </w:r>
      <w:r>
        <w:rPr>
          <w:b/>
          <w:sz w:val="20"/>
          <w:szCs w:val="20"/>
        </w:rPr>
        <w:t xml:space="preserve"> 4, 5 y 6 de noviembre de 2019</w:t>
      </w:r>
    </w:p>
    <w:p w:rsidR="00087215" w:rsidRDefault="004C6A05">
      <w:pPr>
        <w:numPr>
          <w:ilvl w:val="0"/>
          <w:numId w:val="4"/>
        </w:numPr>
        <w:spacing w:line="240" w:lineRule="auto"/>
        <w:jc w:val="both"/>
        <w:rPr>
          <w:sz w:val="20"/>
          <w:szCs w:val="20"/>
        </w:rPr>
      </w:pPr>
      <w:r>
        <w:rPr>
          <w:sz w:val="20"/>
          <w:szCs w:val="20"/>
        </w:rPr>
        <w:t>Un Bootcamp que consistirá en talleres, dinámicas, retos etc. con sede en Monterrey los días 4, 5 y 6 de Noviembre 2019**</w:t>
      </w:r>
    </w:p>
    <w:p w:rsidR="00087215" w:rsidRDefault="004C6A05">
      <w:pPr>
        <w:numPr>
          <w:ilvl w:val="1"/>
          <w:numId w:val="4"/>
        </w:numPr>
        <w:spacing w:line="240" w:lineRule="auto"/>
        <w:jc w:val="both"/>
        <w:rPr>
          <w:sz w:val="20"/>
          <w:szCs w:val="20"/>
        </w:rPr>
      </w:pPr>
      <w:r>
        <w:rPr>
          <w:i/>
          <w:sz w:val="18"/>
          <w:szCs w:val="18"/>
        </w:rPr>
        <w:t xml:space="preserve">**(el programa cubrirá los vuelos y hospedaje para el líder de cada proyecto </w:t>
      </w:r>
      <w:r>
        <w:rPr>
          <w:b/>
          <w:i/>
          <w:sz w:val="18"/>
          <w:szCs w:val="18"/>
        </w:rPr>
        <w:t>“una persona por equipo”</w:t>
      </w:r>
      <w:r>
        <w:rPr>
          <w:i/>
          <w:sz w:val="18"/>
          <w:szCs w:val="18"/>
        </w:rPr>
        <w:t>: vuelos llegada mty: 3 de noviembre / vuelos regreso origen 9 de noviembre. Check in en hotel 3 de noviembre - check out 9 de noviembre)</w:t>
      </w:r>
    </w:p>
    <w:p w:rsidR="00087215" w:rsidRDefault="00087215">
      <w:pPr>
        <w:jc w:val="both"/>
        <w:rPr>
          <w:b/>
          <w:sz w:val="20"/>
          <w:szCs w:val="20"/>
        </w:rPr>
      </w:pPr>
    </w:p>
    <w:p w:rsidR="00087215" w:rsidRDefault="004C6A05">
      <w:pPr>
        <w:jc w:val="both"/>
        <w:rPr>
          <w:b/>
          <w:sz w:val="20"/>
          <w:szCs w:val="20"/>
        </w:rPr>
      </w:pPr>
      <w:r>
        <w:rPr>
          <w:b/>
          <w:sz w:val="20"/>
          <w:szCs w:val="20"/>
        </w:rPr>
        <w:t>Coaching de finalistas</w:t>
      </w:r>
    </w:p>
    <w:p w:rsidR="00087215" w:rsidRDefault="004C6A05">
      <w:pPr>
        <w:jc w:val="both"/>
        <w:rPr>
          <w:sz w:val="20"/>
          <w:szCs w:val="20"/>
        </w:rPr>
      </w:pPr>
      <w:r>
        <w:rPr>
          <w:sz w:val="20"/>
          <w:szCs w:val="20"/>
        </w:rPr>
        <w:t>Periodo:</w:t>
      </w:r>
      <w:r>
        <w:rPr>
          <w:b/>
          <w:sz w:val="20"/>
          <w:szCs w:val="20"/>
        </w:rPr>
        <w:t xml:space="preserve"> 6 de noviembre 2018 </w:t>
      </w:r>
    </w:p>
    <w:p w:rsidR="00087215" w:rsidRDefault="004C6A05">
      <w:pPr>
        <w:numPr>
          <w:ilvl w:val="0"/>
          <w:numId w:val="11"/>
        </w:numPr>
        <w:jc w:val="both"/>
        <w:rPr>
          <w:sz w:val="20"/>
          <w:szCs w:val="20"/>
        </w:rPr>
      </w:pPr>
      <w:r>
        <w:rPr>
          <w:sz w:val="20"/>
          <w:szCs w:val="20"/>
        </w:rPr>
        <w:t>Los primeros 5 lugares recibirán apoyo a</w:t>
      </w:r>
      <w:r>
        <w:rPr>
          <w:sz w:val="20"/>
          <w:szCs w:val="20"/>
        </w:rPr>
        <w:t xml:space="preserve"> través de coaching sobre cómo presentar durante el Panel de Selección Final en el pitch final.</w:t>
      </w:r>
    </w:p>
    <w:p w:rsidR="00087215" w:rsidRDefault="004C6A05">
      <w:pPr>
        <w:jc w:val="both"/>
        <w:rPr>
          <w:sz w:val="20"/>
          <w:szCs w:val="20"/>
        </w:rPr>
      </w:pPr>
      <w:r>
        <w:rPr>
          <w:sz w:val="20"/>
          <w:szCs w:val="20"/>
        </w:rPr>
        <w:t xml:space="preserve"> </w:t>
      </w:r>
    </w:p>
    <w:p w:rsidR="00087215" w:rsidRDefault="004C6A05">
      <w:pPr>
        <w:jc w:val="both"/>
        <w:rPr>
          <w:b/>
          <w:sz w:val="20"/>
          <w:szCs w:val="20"/>
        </w:rPr>
      </w:pPr>
      <w:r>
        <w:rPr>
          <w:b/>
          <w:sz w:val="20"/>
          <w:szCs w:val="20"/>
        </w:rPr>
        <w:t>HEINEKEN Pitch</w:t>
      </w:r>
    </w:p>
    <w:p w:rsidR="00087215" w:rsidRDefault="004C6A05">
      <w:pPr>
        <w:jc w:val="both"/>
        <w:rPr>
          <w:sz w:val="20"/>
          <w:szCs w:val="20"/>
        </w:rPr>
      </w:pPr>
      <w:r>
        <w:rPr>
          <w:sz w:val="20"/>
          <w:szCs w:val="20"/>
        </w:rPr>
        <w:t>Periodo:</w:t>
      </w:r>
      <w:r>
        <w:rPr>
          <w:b/>
          <w:sz w:val="20"/>
          <w:szCs w:val="20"/>
        </w:rPr>
        <w:t xml:space="preserve"> </w:t>
      </w:r>
      <w:r>
        <w:rPr>
          <w:b/>
          <w:sz w:val="20"/>
          <w:szCs w:val="20"/>
          <w:highlight w:val="yellow"/>
        </w:rPr>
        <w:t>8 de noviembre del 2019</w:t>
      </w:r>
      <w:r>
        <w:rPr>
          <w:b/>
          <w:sz w:val="20"/>
          <w:szCs w:val="20"/>
        </w:rPr>
        <w:t xml:space="preserve">  </w:t>
      </w:r>
    </w:p>
    <w:p w:rsidR="00087215" w:rsidRDefault="004C6A05">
      <w:pPr>
        <w:numPr>
          <w:ilvl w:val="0"/>
          <w:numId w:val="13"/>
        </w:numPr>
        <w:jc w:val="both"/>
        <w:rPr>
          <w:sz w:val="20"/>
          <w:szCs w:val="20"/>
        </w:rPr>
      </w:pPr>
      <w:r>
        <w:rPr>
          <w:sz w:val="20"/>
          <w:szCs w:val="20"/>
        </w:rPr>
        <w:t>Pitch competition para la selección de los 5 primeros lugares, de manera presencial posterior a la conferenc</w:t>
      </w:r>
      <w:r>
        <w:rPr>
          <w:sz w:val="20"/>
          <w:szCs w:val="20"/>
        </w:rPr>
        <w:t>ia magistral en el festival INCmty 2019.</w:t>
      </w:r>
    </w:p>
    <w:p w:rsidR="00087215" w:rsidRDefault="004C6A05">
      <w:pPr>
        <w:numPr>
          <w:ilvl w:val="0"/>
          <w:numId w:val="13"/>
        </w:numPr>
        <w:jc w:val="both"/>
        <w:rPr>
          <w:sz w:val="20"/>
          <w:szCs w:val="20"/>
        </w:rPr>
      </w:pPr>
      <w:r>
        <w:rPr>
          <w:sz w:val="20"/>
          <w:szCs w:val="20"/>
        </w:rPr>
        <w:t xml:space="preserve">La duración de presentación de cada pitch será de será de 3 minutos. </w:t>
      </w:r>
    </w:p>
    <w:p w:rsidR="00087215" w:rsidRDefault="00087215">
      <w:pPr>
        <w:jc w:val="both"/>
        <w:rPr>
          <w:sz w:val="20"/>
          <w:szCs w:val="20"/>
        </w:rPr>
      </w:pPr>
    </w:p>
    <w:p w:rsidR="00087215" w:rsidRDefault="004C6A05">
      <w:pPr>
        <w:jc w:val="both"/>
        <w:rPr>
          <w:b/>
          <w:sz w:val="20"/>
          <w:szCs w:val="20"/>
          <w:highlight w:val="yellow"/>
        </w:rPr>
      </w:pPr>
      <w:r>
        <w:rPr>
          <w:b/>
          <w:sz w:val="20"/>
          <w:szCs w:val="20"/>
        </w:rPr>
        <w:t>HEINEKEN Green Acceleration Program</w:t>
      </w:r>
    </w:p>
    <w:p w:rsidR="00087215" w:rsidRDefault="004C6A05">
      <w:pPr>
        <w:jc w:val="both"/>
        <w:rPr>
          <w:sz w:val="20"/>
          <w:szCs w:val="20"/>
        </w:rPr>
      </w:pPr>
      <w:r>
        <w:rPr>
          <w:sz w:val="20"/>
          <w:szCs w:val="20"/>
        </w:rPr>
        <w:t>Periodo:</w:t>
      </w:r>
      <w:r>
        <w:rPr>
          <w:b/>
          <w:sz w:val="20"/>
          <w:szCs w:val="20"/>
        </w:rPr>
        <w:t xml:space="preserve"> marzo - junio 2020</w:t>
      </w:r>
    </w:p>
    <w:p w:rsidR="00087215" w:rsidRDefault="00087215">
      <w:pPr>
        <w:spacing w:line="240" w:lineRule="auto"/>
        <w:rPr>
          <w:b/>
          <w:color w:val="4A86E8"/>
          <w:sz w:val="24"/>
          <w:szCs w:val="24"/>
        </w:rPr>
      </w:pPr>
    </w:p>
    <w:p w:rsidR="00087215" w:rsidRDefault="004C6A05">
      <w:pPr>
        <w:spacing w:line="240" w:lineRule="auto"/>
        <w:rPr>
          <w:b/>
          <w:color w:val="4A86E8"/>
          <w:sz w:val="24"/>
          <w:szCs w:val="24"/>
        </w:rPr>
      </w:pPr>
      <w:r>
        <w:rPr>
          <w:b/>
          <w:color w:val="4A86E8"/>
          <w:sz w:val="24"/>
          <w:szCs w:val="24"/>
        </w:rPr>
        <w:t>Premios</w:t>
      </w:r>
    </w:p>
    <w:p w:rsidR="00087215" w:rsidRDefault="00087215">
      <w:pPr>
        <w:spacing w:line="240" w:lineRule="auto"/>
        <w:rPr>
          <w:b/>
          <w:sz w:val="20"/>
          <w:szCs w:val="20"/>
        </w:rPr>
      </w:pPr>
    </w:p>
    <w:p w:rsidR="00087215" w:rsidRDefault="004C6A05">
      <w:pPr>
        <w:spacing w:line="240" w:lineRule="auto"/>
        <w:rPr>
          <w:sz w:val="20"/>
          <w:szCs w:val="20"/>
        </w:rPr>
      </w:pPr>
      <w:r>
        <w:rPr>
          <w:sz w:val="20"/>
          <w:szCs w:val="20"/>
        </w:rPr>
        <w:t>Aquellos equipos que brinden las propuestas más ingeniosas, originales y funcionales, recibirán los siguientes premios:</w:t>
      </w:r>
    </w:p>
    <w:p w:rsidR="00087215" w:rsidRDefault="00087215">
      <w:pPr>
        <w:spacing w:line="240" w:lineRule="auto"/>
        <w:rPr>
          <w:sz w:val="20"/>
          <w:szCs w:val="20"/>
        </w:rPr>
      </w:pPr>
    </w:p>
    <w:p w:rsidR="00087215" w:rsidRDefault="004C6A05">
      <w:pPr>
        <w:numPr>
          <w:ilvl w:val="0"/>
          <w:numId w:val="12"/>
        </w:numPr>
        <w:spacing w:line="240" w:lineRule="auto"/>
        <w:jc w:val="both"/>
        <w:rPr>
          <w:b/>
          <w:sz w:val="20"/>
          <w:szCs w:val="20"/>
        </w:rPr>
      </w:pPr>
      <w:r>
        <w:rPr>
          <w:b/>
          <w:sz w:val="20"/>
          <w:szCs w:val="20"/>
        </w:rPr>
        <w:t>1er lugar: $500,000 MXN</w:t>
      </w:r>
    </w:p>
    <w:p w:rsidR="00087215" w:rsidRDefault="004C6A05">
      <w:pPr>
        <w:numPr>
          <w:ilvl w:val="0"/>
          <w:numId w:val="12"/>
        </w:numPr>
        <w:spacing w:line="240" w:lineRule="auto"/>
        <w:jc w:val="both"/>
        <w:rPr>
          <w:b/>
          <w:sz w:val="20"/>
          <w:szCs w:val="20"/>
        </w:rPr>
      </w:pPr>
      <w:r>
        <w:rPr>
          <w:b/>
          <w:sz w:val="20"/>
          <w:szCs w:val="20"/>
        </w:rPr>
        <w:t>2do lugar: $200,000 MXN</w:t>
      </w:r>
    </w:p>
    <w:p w:rsidR="00087215" w:rsidRDefault="004C6A05">
      <w:pPr>
        <w:numPr>
          <w:ilvl w:val="0"/>
          <w:numId w:val="12"/>
        </w:numPr>
        <w:spacing w:line="240" w:lineRule="auto"/>
        <w:jc w:val="both"/>
        <w:rPr>
          <w:b/>
          <w:sz w:val="20"/>
          <w:szCs w:val="20"/>
        </w:rPr>
      </w:pPr>
      <w:r>
        <w:rPr>
          <w:b/>
          <w:sz w:val="20"/>
          <w:szCs w:val="20"/>
        </w:rPr>
        <w:t>3er lugar: $100,000 MXN</w:t>
      </w:r>
    </w:p>
    <w:p w:rsidR="00087215" w:rsidRDefault="004C6A05">
      <w:pPr>
        <w:numPr>
          <w:ilvl w:val="0"/>
          <w:numId w:val="12"/>
        </w:numPr>
        <w:spacing w:line="240" w:lineRule="auto"/>
        <w:jc w:val="both"/>
        <w:rPr>
          <w:b/>
          <w:sz w:val="20"/>
          <w:szCs w:val="20"/>
        </w:rPr>
      </w:pPr>
      <w:r>
        <w:rPr>
          <w:b/>
          <w:sz w:val="20"/>
          <w:szCs w:val="20"/>
        </w:rPr>
        <w:t>4to al 10mo lugar: $50,000 MXN</w:t>
      </w:r>
    </w:p>
    <w:p w:rsidR="00087215" w:rsidRDefault="004C6A05">
      <w:pPr>
        <w:numPr>
          <w:ilvl w:val="0"/>
          <w:numId w:val="4"/>
        </w:numPr>
        <w:spacing w:line="240" w:lineRule="auto"/>
        <w:jc w:val="both"/>
        <w:rPr>
          <w:sz w:val="20"/>
          <w:szCs w:val="20"/>
        </w:rPr>
      </w:pPr>
      <w:r>
        <w:rPr>
          <w:sz w:val="20"/>
          <w:szCs w:val="20"/>
        </w:rPr>
        <w:t xml:space="preserve">Un programa de aceleración para los 10 proyectos finalistas para premiar la creatividad e impulsar la startup/proyecto </w:t>
      </w:r>
      <w:r>
        <w:rPr>
          <w:b/>
          <w:i/>
          <w:sz w:val="20"/>
          <w:szCs w:val="20"/>
        </w:rPr>
        <w:t>(marzo - junio 2020)</w:t>
      </w:r>
      <w:r>
        <w:rPr>
          <w:sz w:val="20"/>
          <w:szCs w:val="20"/>
        </w:rPr>
        <w:t>.</w:t>
      </w:r>
    </w:p>
    <w:p w:rsidR="00087215" w:rsidRDefault="004C6A05">
      <w:pPr>
        <w:numPr>
          <w:ilvl w:val="0"/>
          <w:numId w:val="4"/>
        </w:numPr>
        <w:spacing w:line="240" w:lineRule="auto"/>
        <w:jc w:val="both"/>
        <w:rPr>
          <w:sz w:val="20"/>
          <w:szCs w:val="20"/>
        </w:rPr>
      </w:pPr>
      <w:r>
        <w:rPr>
          <w:sz w:val="20"/>
          <w:szCs w:val="20"/>
        </w:rPr>
        <w:t>Una entrada general a INCmty del 7 al 9 de Noviembre 2019, por equipo.</w:t>
      </w:r>
    </w:p>
    <w:p w:rsidR="00087215" w:rsidRDefault="00087215">
      <w:pPr>
        <w:spacing w:line="240" w:lineRule="auto"/>
        <w:ind w:left="720"/>
        <w:rPr>
          <w:b/>
          <w:sz w:val="20"/>
          <w:szCs w:val="20"/>
        </w:rPr>
      </w:pPr>
    </w:p>
    <w:p w:rsidR="00087215" w:rsidRDefault="00087215">
      <w:pPr>
        <w:spacing w:line="240" w:lineRule="auto"/>
        <w:jc w:val="center"/>
        <w:rPr>
          <w:sz w:val="20"/>
          <w:szCs w:val="20"/>
        </w:rPr>
      </w:pPr>
    </w:p>
    <w:p w:rsidR="00087215" w:rsidRDefault="004C6A05">
      <w:pPr>
        <w:spacing w:line="240" w:lineRule="auto"/>
        <w:jc w:val="center"/>
        <w:rPr>
          <w:sz w:val="20"/>
          <w:szCs w:val="20"/>
        </w:rPr>
      </w:pPr>
      <w:r>
        <w:rPr>
          <w:sz w:val="20"/>
          <w:szCs w:val="20"/>
        </w:rPr>
        <w:tab/>
      </w:r>
    </w:p>
    <w:p w:rsidR="00087215" w:rsidRDefault="004C6A05">
      <w:pPr>
        <w:spacing w:line="240" w:lineRule="auto"/>
        <w:jc w:val="center"/>
        <w:rPr>
          <w:sz w:val="20"/>
          <w:szCs w:val="20"/>
        </w:rPr>
      </w:pPr>
      <w:r>
        <w:rPr>
          <w:sz w:val="20"/>
          <w:szCs w:val="20"/>
        </w:rPr>
        <w:t>Para conocer nuestros lineamientos, da c</w:t>
      </w:r>
      <w:r>
        <w:rPr>
          <w:sz w:val="20"/>
          <w:szCs w:val="20"/>
        </w:rPr>
        <w:t>lick aquí:</w:t>
      </w:r>
    </w:p>
    <w:p w:rsidR="00087215" w:rsidRDefault="00087215">
      <w:pPr>
        <w:spacing w:line="240" w:lineRule="auto"/>
        <w:jc w:val="center"/>
        <w:rPr>
          <w:sz w:val="20"/>
          <w:szCs w:val="20"/>
        </w:rPr>
      </w:pPr>
    </w:p>
    <w:p w:rsidR="00087215" w:rsidRDefault="004C6A05">
      <w:pPr>
        <w:numPr>
          <w:ilvl w:val="0"/>
          <w:numId w:val="7"/>
        </w:numPr>
        <w:spacing w:line="240" w:lineRule="auto"/>
        <w:jc w:val="center"/>
        <w:rPr>
          <w:sz w:val="20"/>
          <w:szCs w:val="20"/>
        </w:rPr>
      </w:pPr>
      <w:hyperlink r:id="rId12">
        <w:r>
          <w:rPr>
            <w:color w:val="1155CC"/>
            <w:sz w:val="20"/>
            <w:szCs w:val="20"/>
            <w:u w:val="single"/>
          </w:rPr>
          <w:t>https://heineken.incmty.com/</w:t>
        </w:r>
      </w:hyperlink>
      <w:r>
        <w:rPr>
          <w:sz w:val="20"/>
          <w:szCs w:val="20"/>
        </w:rPr>
        <w:t xml:space="preserve"> </w:t>
      </w:r>
    </w:p>
    <w:p w:rsidR="00087215" w:rsidRDefault="00087215">
      <w:pPr>
        <w:spacing w:line="240" w:lineRule="auto"/>
        <w:ind w:left="720"/>
        <w:rPr>
          <w:b/>
          <w:sz w:val="20"/>
          <w:szCs w:val="20"/>
        </w:rPr>
      </w:pPr>
    </w:p>
    <w:sectPr w:rsidR="00087215">
      <w:headerReference w:type="default" r:id="rId13"/>
      <w:footerReference w:type="defaul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05" w:rsidRDefault="004C6A05">
      <w:pPr>
        <w:spacing w:line="240" w:lineRule="auto"/>
      </w:pPr>
      <w:r>
        <w:separator/>
      </w:r>
    </w:p>
  </w:endnote>
  <w:endnote w:type="continuationSeparator" w:id="0">
    <w:p w:rsidR="004C6A05" w:rsidRDefault="004C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15" w:rsidRDefault="000872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05" w:rsidRDefault="004C6A05">
      <w:pPr>
        <w:spacing w:line="240" w:lineRule="auto"/>
      </w:pPr>
      <w:r>
        <w:separator/>
      </w:r>
    </w:p>
  </w:footnote>
  <w:footnote w:type="continuationSeparator" w:id="0">
    <w:p w:rsidR="004C6A05" w:rsidRDefault="004C6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15" w:rsidRDefault="004C6A05">
    <w:pPr>
      <w:spacing w:line="240" w:lineRule="auto"/>
    </w:pPr>
    <w:r>
      <w:rPr>
        <w:noProof/>
        <w:lang w:val="es-MX"/>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409575</wp:posOffset>
          </wp:positionV>
          <wp:extent cx="1406723" cy="56494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6723" cy="564949"/>
                  </a:xfrm>
                  <a:prstGeom prst="rect">
                    <a:avLst/>
                  </a:prstGeom>
                  <a:ln/>
                </pic:spPr>
              </pic:pic>
            </a:graphicData>
          </a:graphic>
        </wp:anchor>
      </w:drawing>
    </w:r>
    <w:r>
      <w:rPr>
        <w:noProof/>
        <w:lang w:val="es-MX"/>
      </w:rPr>
      <w:drawing>
        <wp:anchor distT="114300" distB="114300" distL="114300" distR="114300" simplePos="0" relativeHeight="251659264" behindDoc="0" locked="0" layoutInCell="1" hidden="0" allowOverlap="1">
          <wp:simplePos x="0" y="0"/>
          <wp:positionH relativeFrom="column">
            <wp:posOffset>4552950</wp:posOffset>
          </wp:positionH>
          <wp:positionV relativeFrom="paragraph">
            <wp:posOffset>438150</wp:posOffset>
          </wp:positionV>
          <wp:extent cx="1180777" cy="50482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80777" cy="504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06"/>
    <w:multiLevelType w:val="multilevel"/>
    <w:tmpl w:val="D6925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E3DD1"/>
    <w:multiLevelType w:val="multilevel"/>
    <w:tmpl w:val="9C48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BD7FF0"/>
    <w:multiLevelType w:val="multilevel"/>
    <w:tmpl w:val="F69ED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98182C"/>
    <w:multiLevelType w:val="multilevel"/>
    <w:tmpl w:val="F8D23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DB4E42"/>
    <w:multiLevelType w:val="multilevel"/>
    <w:tmpl w:val="F3349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2F21FD"/>
    <w:multiLevelType w:val="multilevel"/>
    <w:tmpl w:val="57C47C26"/>
    <w:lvl w:ilvl="0">
      <w:start w:val="1"/>
      <w:numFmt w:val="bullet"/>
      <w:lvlText w:val="●"/>
      <w:lvlJc w:val="left"/>
      <w:pPr>
        <w:ind w:left="720" w:hanging="360"/>
      </w:pPr>
      <w:rPr>
        <w:rFonts w:ascii="Arial" w:eastAsia="Arial" w:hAnsi="Arial" w:cs="Arial"/>
        <w:color w:val="333333"/>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EB2113"/>
    <w:multiLevelType w:val="multilevel"/>
    <w:tmpl w:val="366AD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973B8E"/>
    <w:multiLevelType w:val="multilevel"/>
    <w:tmpl w:val="DC0EB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FD4D5A"/>
    <w:multiLevelType w:val="multilevel"/>
    <w:tmpl w:val="6722E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396F38"/>
    <w:multiLevelType w:val="multilevel"/>
    <w:tmpl w:val="06309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BE3829"/>
    <w:multiLevelType w:val="multilevel"/>
    <w:tmpl w:val="5352D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D56609"/>
    <w:multiLevelType w:val="multilevel"/>
    <w:tmpl w:val="5FF83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E46E1A"/>
    <w:multiLevelType w:val="multilevel"/>
    <w:tmpl w:val="56789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EA4440"/>
    <w:multiLevelType w:val="multilevel"/>
    <w:tmpl w:val="15B64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E72253"/>
    <w:multiLevelType w:val="multilevel"/>
    <w:tmpl w:val="245C4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0"/>
  </w:num>
  <w:num w:numId="4">
    <w:abstractNumId w:val="9"/>
  </w:num>
  <w:num w:numId="5">
    <w:abstractNumId w:val="5"/>
  </w:num>
  <w:num w:numId="6">
    <w:abstractNumId w:val="4"/>
  </w:num>
  <w:num w:numId="7">
    <w:abstractNumId w:val="7"/>
  </w:num>
  <w:num w:numId="8">
    <w:abstractNumId w:val="11"/>
  </w:num>
  <w:num w:numId="9">
    <w:abstractNumId w:val="10"/>
  </w:num>
  <w:num w:numId="10">
    <w:abstractNumId w:val="13"/>
  </w:num>
  <w:num w:numId="11">
    <w:abstractNumId w:val="12"/>
  </w:num>
  <w:num w:numId="12">
    <w:abstractNumId w:val="3"/>
  </w:num>
  <w:num w:numId="13">
    <w:abstractNumId w:val="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15"/>
    <w:rsid w:val="00087215"/>
    <w:rsid w:val="004C6A05"/>
    <w:rsid w:val="00DE52BE"/>
    <w:rsid w:val="00FA43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771AF-84A0-4839-A558-B6155378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heheinekencompany.com/Media/Media-Releases/Press-releases/2019/03/223899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heinekencompany.com/Sustainability/Focus-Areas/Protecting-Water-Resources" TargetMode="External"/><Relationship Id="rId12" Type="http://schemas.openxmlformats.org/officeDocument/2006/relationships/hyperlink" Target="https://heineken.incmt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ineken.incmt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eineken.incmty.com" TargetMode="External"/><Relationship Id="rId4" Type="http://schemas.openxmlformats.org/officeDocument/2006/relationships/webSettings" Target="webSettings.xml"/><Relationship Id="rId9" Type="http://schemas.openxmlformats.org/officeDocument/2006/relationships/hyperlink" Target="https://www.theheinekencompany.com/Media/Features/Every-Drop-Protecting-Water-Resour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HEINEKEN</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Daniel Cosio Santacruz</dc:creator>
  <cp:lastModifiedBy>Jose Daniel Cosio Santacruz</cp:lastModifiedBy>
  <cp:revision>2</cp:revision>
  <dcterms:created xsi:type="dcterms:W3CDTF">2019-05-22T16:31:00Z</dcterms:created>
  <dcterms:modified xsi:type="dcterms:W3CDTF">2019-05-22T16:31:00Z</dcterms:modified>
</cp:coreProperties>
</file>